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7"/>
        <w:gridCol w:w="2067"/>
      </w:tblGrid>
      <w:tr w:rsidR="001439F3" w:rsidTr="001439F3"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b/>
                <w:bCs/>
                <w:color w:val="1F497D"/>
                <w:u w:val="single"/>
              </w:rPr>
            </w:pPr>
            <w:r>
              <w:rPr>
                <w:b/>
                <w:bCs/>
                <w:color w:val="1F497D"/>
                <w:u w:val="single"/>
              </w:rPr>
              <w:t>Eğitim Konusu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b/>
                <w:bCs/>
                <w:color w:val="1F497D"/>
                <w:u w:val="single"/>
              </w:rPr>
            </w:pPr>
            <w:r>
              <w:rPr>
                <w:b/>
                <w:bCs/>
                <w:color w:val="1F497D"/>
                <w:u w:val="single"/>
              </w:rPr>
              <w:t>Eğitim Süresi (Saat)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Kimyasalların Yönetimi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3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Mevzuat;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-Maddelerin ve Karışımların Sınıflandırılması, Etiketlendirilmesi ve Ambalajlanması Hakkında Yönetmelik,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-Tehlikeli Malların Taşınması, Depolanması,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-İş Sağlığı ve Güvenliği,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-Kimyasalların Kaydı, Değerlendirilmesi, İzni ve Kısıtlanması,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5 Saat</w:t>
            </w:r>
          </w:p>
        </w:tc>
        <w:bookmarkStart w:id="0" w:name="_GoBack"/>
        <w:bookmarkEnd w:id="0"/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Madde ve Karışımların;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</w:t>
            </w:r>
            <w:proofErr w:type="spellStart"/>
            <w:r>
              <w:rPr>
                <w:color w:val="1F497D"/>
              </w:rPr>
              <w:t>Fiziko</w:t>
            </w:r>
            <w:proofErr w:type="spellEnd"/>
            <w:r>
              <w:rPr>
                <w:color w:val="1F497D"/>
              </w:rPr>
              <w:t>-Kimyasal Özelliklerine Göre,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</w:t>
            </w:r>
            <w:proofErr w:type="spellStart"/>
            <w:r>
              <w:rPr>
                <w:color w:val="1F497D"/>
              </w:rPr>
              <w:t>Toksikolojik</w:t>
            </w:r>
            <w:proofErr w:type="spellEnd"/>
            <w:r>
              <w:rPr>
                <w:color w:val="1F497D"/>
              </w:rPr>
              <w:t xml:space="preserve"> Özelliklerine Göre,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</w:t>
            </w:r>
            <w:proofErr w:type="spellStart"/>
            <w:r>
              <w:rPr>
                <w:color w:val="1F497D"/>
              </w:rPr>
              <w:t>Ekotoksikolojik</w:t>
            </w:r>
            <w:proofErr w:type="spellEnd"/>
            <w:r>
              <w:rPr>
                <w:color w:val="1F497D"/>
              </w:rPr>
              <w:t xml:space="preserve"> Özelliklerine Göre Sınıflandırılması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12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Kimyasallar-İnsan Sağlığı Risk Değerlendirmesi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12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Kimyasallar-Çevresel Risk Değerlendirmesi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8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Maruz Kalma Senaryoları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8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Kimyasal Güvenlik Değerlendirmesi (KGD),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Kimyasal Güvenlik Raporu (KRG)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8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Güvenlik Bilgi Formu Hazırlanması İçin Gereklilikler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8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TOPLAM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64 Saat</w:t>
            </w:r>
          </w:p>
        </w:tc>
      </w:tr>
    </w:tbl>
    <w:p w:rsidR="00B61153" w:rsidRDefault="001439F3"/>
    <w:sectPr w:rsidR="00B6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52"/>
    <w:rsid w:val="00045052"/>
    <w:rsid w:val="001439F3"/>
    <w:rsid w:val="003347C3"/>
    <w:rsid w:val="009F199A"/>
    <w:rsid w:val="00E82536"/>
    <w:rsid w:val="00E826FB"/>
    <w:rsid w:val="00E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FA039-CB46-4E24-B864-87F9B21B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9F3"/>
    <w:pPr>
      <w:spacing w:line="252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TSE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Bilgen IŞIKLAR</cp:lastModifiedBy>
  <cp:revision>2</cp:revision>
  <dcterms:created xsi:type="dcterms:W3CDTF">2018-05-04T11:37:00Z</dcterms:created>
  <dcterms:modified xsi:type="dcterms:W3CDTF">2018-05-04T11:38:00Z</dcterms:modified>
</cp:coreProperties>
</file>